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9A" w:rsidRDefault="00D8249A" w:rsidP="00CD0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Northeastern Illinois University</w:t>
      </w:r>
      <w:r w:rsidR="001949F7">
        <w:rPr>
          <w:rFonts w:ascii="Arial" w:hAnsi="Arial" w:cs="Arial"/>
          <w:b/>
          <w:sz w:val="28"/>
          <w:szCs w:val="28"/>
        </w:rPr>
        <w:t xml:space="preserve"> (NEIU)</w:t>
      </w:r>
    </w:p>
    <w:p w:rsidR="00CD00F6" w:rsidRDefault="00D8249A" w:rsidP="00CD0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University Without Walls (UWW) </w:t>
      </w:r>
      <w:r w:rsidR="00CD00F6" w:rsidRPr="00CD00F6">
        <w:rPr>
          <w:rFonts w:ascii="Arial" w:hAnsi="Arial" w:cs="Arial"/>
          <w:b/>
          <w:sz w:val="28"/>
          <w:szCs w:val="28"/>
        </w:rPr>
        <w:t>Depth Areas</w:t>
      </w:r>
    </w:p>
    <w:p w:rsidR="00D8249A" w:rsidRPr="00D8249A" w:rsidRDefault="00D8249A" w:rsidP="00D8249A">
      <w:pPr>
        <w:rPr>
          <w:rFonts w:ascii="Arial" w:hAnsi="Arial" w:cs="Arial"/>
          <w:sz w:val="24"/>
          <w:szCs w:val="24"/>
        </w:rPr>
      </w:pPr>
      <w:r w:rsidRPr="00D8249A">
        <w:rPr>
          <w:rFonts w:ascii="Arial" w:hAnsi="Arial" w:cs="Arial"/>
          <w:sz w:val="24"/>
          <w:szCs w:val="24"/>
        </w:rPr>
        <w:t>All University Without Walls students have a depth area that is a university-level academic area of concentration and expertise.</w:t>
      </w:r>
      <w:r w:rsidR="001949F7">
        <w:rPr>
          <w:rFonts w:ascii="Arial" w:hAnsi="Arial" w:cs="Arial"/>
          <w:sz w:val="24"/>
          <w:szCs w:val="24"/>
        </w:rPr>
        <w:t xml:space="preserve">  It is similar to a traditional academic major.  Learning in this area provides the depth of knowledge that, combined with the breadth of knowledge established through UWW Breadth Areas, constitutes a college education.</w:t>
      </w:r>
    </w:p>
    <w:p w:rsidR="001949F7" w:rsidRDefault="00D8249A" w:rsidP="00D8249A">
      <w:pPr>
        <w:rPr>
          <w:rFonts w:ascii="Arial" w:hAnsi="Arial" w:cs="Arial"/>
          <w:sz w:val="24"/>
          <w:szCs w:val="24"/>
        </w:rPr>
      </w:pPr>
      <w:r w:rsidRPr="00D8249A">
        <w:rPr>
          <w:rFonts w:ascii="Arial" w:hAnsi="Arial" w:cs="Arial"/>
          <w:sz w:val="24"/>
          <w:szCs w:val="24"/>
        </w:rPr>
        <w:t>The Depth A</w:t>
      </w:r>
      <w:r>
        <w:rPr>
          <w:rFonts w:ascii="Arial" w:hAnsi="Arial" w:cs="Arial"/>
          <w:sz w:val="24"/>
          <w:szCs w:val="24"/>
        </w:rPr>
        <w:t xml:space="preserve">rea </w:t>
      </w:r>
      <w:r w:rsidR="001949F7">
        <w:rPr>
          <w:rFonts w:ascii="Arial" w:hAnsi="Arial" w:cs="Arial"/>
          <w:sz w:val="24"/>
          <w:szCs w:val="24"/>
        </w:rPr>
        <w:t xml:space="preserve">will </w:t>
      </w:r>
      <w:r w:rsidRPr="00D8249A">
        <w:rPr>
          <w:rFonts w:ascii="Arial" w:hAnsi="Arial" w:cs="Arial"/>
          <w:sz w:val="24"/>
          <w:szCs w:val="24"/>
        </w:rPr>
        <w:t xml:space="preserve">be different than </w:t>
      </w:r>
      <w:r w:rsidR="001949F7">
        <w:rPr>
          <w:rFonts w:ascii="Arial" w:hAnsi="Arial" w:cs="Arial"/>
          <w:sz w:val="24"/>
          <w:szCs w:val="24"/>
        </w:rPr>
        <w:t xml:space="preserve">existing </w:t>
      </w:r>
      <w:r w:rsidRPr="00D8249A">
        <w:rPr>
          <w:rFonts w:ascii="Arial" w:hAnsi="Arial" w:cs="Arial"/>
          <w:sz w:val="24"/>
          <w:szCs w:val="24"/>
        </w:rPr>
        <w:t>NEIU</w:t>
      </w:r>
      <w:r w:rsidR="001949F7">
        <w:rPr>
          <w:rFonts w:ascii="Arial" w:hAnsi="Arial" w:cs="Arial"/>
          <w:sz w:val="24"/>
          <w:szCs w:val="24"/>
        </w:rPr>
        <w:t xml:space="preserve"> majors. </w:t>
      </w:r>
      <w:r w:rsidRPr="00D82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Depth Area title, along with description of prior and proposed learning in that area, is included in the </w:t>
      </w:r>
      <w:r w:rsidR="001949F7">
        <w:rPr>
          <w:rFonts w:ascii="Arial" w:hAnsi="Arial" w:cs="Arial"/>
          <w:sz w:val="24"/>
          <w:szCs w:val="24"/>
        </w:rPr>
        <w:t>Narrative</w:t>
      </w:r>
      <w:r>
        <w:rPr>
          <w:rFonts w:ascii="Arial" w:hAnsi="Arial" w:cs="Arial"/>
          <w:sz w:val="24"/>
          <w:szCs w:val="24"/>
        </w:rPr>
        <w:t xml:space="preserve"> Application to UWW</w:t>
      </w:r>
      <w:r w:rsidR="001949F7">
        <w:rPr>
          <w:rFonts w:ascii="Arial" w:hAnsi="Arial" w:cs="Arial"/>
          <w:sz w:val="24"/>
          <w:szCs w:val="24"/>
        </w:rPr>
        <w:t xml:space="preserve">. </w:t>
      </w:r>
    </w:p>
    <w:p w:rsidR="00D8249A" w:rsidRPr="00D8249A" w:rsidRDefault="00D8249A" w:rsidP="00D8249A">
      <w:pPr>
        <w:rPr>
          <w:rFonts w:ascii="Arial" w:hAnsi="Arial" w:cs="Arial"/>
          <w:sz w:val="24"/>
          <w:szCs w:val="24"/>
        </w:rPr>
      </w:pPr>
      <w:r w:rsidRPr="00D8249A">
        <w:rPr>
          <w:rFonts w:ascii="Arial" w:hAnsi="Arial" w:cs="Arial"/>
          <w:sz w:val="24"/>
          <w:szCs w:val="24"/>
        </w:rPr>
        <w:t>Below is a list of Depth Area</w:t>
      </w:r>
      <w:r w:rsidR="001949F7">
        <w:rPr>
          <w:rFonts w:ascii="Arial" w:hAnsi="Arial" w:cs="Arial"/>
          <w:sz w:val="24"/>
          <w:szCs w:val="24"/>
        </w:rPr>
        <w:t>s of UWW graduates: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Guitar Performance and Pedagogy</w:t>
      </w:r>
      <w:bookmarkStart w:id="0" w:name="_GoBack"/>
      <w:bookmarkEnd w:id="0"/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Latin American and Latino Studies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Dance Performance, Choreography and Teaching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Deaf Accessibility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Dance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Adapted Physical Education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Community Development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Organizational Knowledge Acquisition &amp; Implementation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 xml:space="preserve">Women and Reproduction:  A </w:t>
      </w:r>
      <w:proofErr w:type="spellStart"/>
      <w:r w:rsidRPr="00CD00F6">
        <w:rPr>
          <w:rFonts w:ascii="Arial" w:hAnsi="Arial" w:cs="Arial"/>
          <w:sz w:val="24"/>
          <w:szCs w:val="24"/>
        </w:rPr>
        <w:t>Biopsychosocial</w:t>
      </w:r>
      <w:proofErr w:type="spellEnd"/>
      <w:r w:rsidRPr="00CD00F6">
        <w:rPr>
          <w:rFonts w:ascii="Arial" w:hAnsi="Arial" w:cs="Arial"/>
          <w:sz w:val="24"/>
          <w:szCs w:val="24"/>
        </w:rPr>
        <w:t xml:space="preserve"> Integrative Perspective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Holistic Lifestyle Development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Latina Reproductive Health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Developmental Disabilities Services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African Centered Curriculum Development for the Inner City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Sustainable Community Design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Public Policy and Administration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Communication/Production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Arts and Culture for Social Empowerment, Arts Integration in Education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Dance: Choreography, Performance, Teaching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Community Program Development and Administration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Primary Health Care and Traditional Health Practices in Urban Communities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Interdisciplinary Art Curriculum Development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Advocacy/Community Organizing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Public Service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Dance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Communication Through Design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lastRenderedPageBreak/>
        <w:t>American Rhythm Dancing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Dance Performance and Teaching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Communication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Women’s Health communications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Civic and Political Engagement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Arts Administration with a Dance Emphasis</w:t>
      </w:r>
    </w:p>
    <w:p w:rsidR="00CD00F6" w:rsidRP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Non Profit Development</w:t>
      </w:r>
    </w:p>
    <w:p w:rsid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00F6">
        <w:rPr>
          <w:rFonts w:ascii="Arial" w:hAnsi="Arial" w:cs="Arial"/>
          <w:sz w:val="24"/>
          <w:szCs w:val="24"/>
        </w:rPr>
        <w:t>Sciences for Women and Youth</w:t>
      </w:r>
    </w:p>
    <w:p w:rsidR="00CD00F6" w:rsidRDefault="00D8249A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Horticultural Botany</w:t>
      </w:r>
    </w:p>
    <w:p w:rsidR="00CD00F6" w:rsidRDefault="00CD00F6" w:rsidP="00CD00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Violent Injury Impact and Analysis</w:t>
      </w:r>
    </w:p>
    <w:p w:rsidR="00725B16" w:rsidRPr="00D8249A" w:rsidRDefault="00D8249A" w:rsidP="00D82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Service for Women and Youth  </w:t>
      </w:r>
    </w:p>
    <w:sectPr w:rsidR="00725B16" w:rsidRPr="00D8249A" w:rsidSect="00CD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FF9"/>
    <w:multiLevelType w:val="hybridMultilevel"/>
    <w:tmpl w:val="D4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F6"/>
    <w:rsid w:val="001949F7"/>
    <w:rsid w:val="00725B16"/>
    <w:rsid w:val="00CD00F6"/>
    <w:rsid w:val="00D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7A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1623</Characters>
  <Application>Microsoft Macintosh Word</Application>
  <DocSecurity>0</DocSecurity>
  <Lines>13</Lines>
  <Paragraphs>3</Paragraphs>
  <ScaleCrop>false</ScaleCrop>
  <Company>Northeastern Illinois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Kimberly</dc:creator>
  <cp:keywords/>
  <dc:description/>
  <cp:lastModifiedBy>Sanborn, Kimberly</cp:lastModifiedBy>
  <cp:revision>1</cp:revision>
  <dcterms:created xsi:type="dcterms:W3CDTF">2013-11-05T17:15:00Z</dcterms:created>
  <dcterms:modified xsi:type="dcterms:W3CDTF">2013-11-05T17:46:00Z</dcterms:modified>
</cp:coreProperties>
</file>